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MOMS FOR LIBERTY GWINNETT C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OUNTY, GEORGIA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 OF CONDUCT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establish a set of principles and practices for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Moms for Liberty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Gwinnett County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members that will set parameters and provide guidance for member conduct and decision-making.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Members of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 committed to observing and promoting the highest standards of ethical conduct in the performance of their responsibilities as members.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 pledge to accept this code as a minimum guideline for ethical conduct. Members shall: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ACCOUNTABILITY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Faithfully abide by the By-laws and Policies of Moms for Liberty, Inc. and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Exercise reasonable care, good faith and due diligence in organizational affairs.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Fully disclose, at the earliest opportunity, information that may result in a perceived or actual conflict of interest.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Fully disclose, at the earliest opportunity, information of fact that would have significance in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leadership’s decision making.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Remain accountable for prudent fiscal management to chapter members, the board, and nonprofit sector, and where applicable, to government and funding bodies.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Refrain from entering into a business agreement or contract on behalf of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 professional level of courtesy, respect, and objectivity.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other members in upholding this Code of Conduct.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Strive to create a positive and enjoyable experience for yourself, fellow chapter members, and those you work with in the community.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mindful of all communications (e.g. public speaking, emails, print pieces, websites, and social media), as an always-identifiable representative of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All communications shall remain informational/encouraging (e.g. offensive jokes, cursing, yelling, and negative dialogue shall be avoided).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that the success of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depends upon volunteers in a variety of roles.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that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Moms for Liberty Gwinnett County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GAIN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Exercise the powers invested for the good of all members of the organization rather than for his or her personal benefit, or that of an outside group represented.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CONFIDENTIALITY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 the confidentiality of sensitive information known due to membership involvement.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significant effort to protect and maintain confidential information shared with the group for official business (e.g. constituent data).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volunteer agreement, once signed, will be in effect for as long as the member is in their position.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Name: 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Signature: 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5A28"/>
    <w:pPr>
      <w:ind w:left="720"/>
      <w:contextualSpacing w:val="1"/>
    </w:pPr>
  </w:style>
  <w:style w:type="paragraph" w:styleId="NoSpacing">
    <w:name w:val="No Spacing"/>
    <w:uiPriority w:val="1"/>
    <w:qFormat w:val="1"/>
    <w:rsid w:val="003D488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hdH/A8lRx2T4QSjW7TgVmQFSZQ==">CgMxLjA4AHIhMS1GYTFNaFRXd2NkMl9VaS1hcHR0b2x0cWRJUm94SG93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2021-10-19T23:39:00Z</dcterms:created>
  <dc:creator>Marie Rogerson</dc:creator>
</cp:coreProperties>
</file>